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CA" w:rsidRDefault="009E59CA" w:rsidP="00890F55">
      <w:pPr>
        <w:jc w:val="center"/>
        <w:rPr>
          <w:rFonts w:ascii="Old Standard TT" w:eastAsia="Times New Roman" w:hAnsi="Old Standard TT" w:cs="Arial"/>
          <w:b/>
          <w:bCs/>
          <w:color w:val="00000A"/>
          <w:sz w:val="40"/>
          <w:szCs w:val="40"/>
          <w:lang w:bidi="he-IL"/>
        </w:rPr>
      </w:pPr>
      <w:r>
        <w:rPr>
          <w:rFonts w:ascii="Old Standard TT" w:eastAsia="Times New Roman" w:hAnsi="Old Standard TT" w:cs="Arial"/>
          <w:b/>
          <w:bCs/>
          <w:color w:val="00000A"/>
          <w:sz w:val="40"/>
          <w:szCs w:val="40"/>
          <w:lang w:bidi="he-IL"/>
        </w:rPr>
        <w:t>2021-es pénzügyi beszámoló</w:t>
      </w:r>
    </w:p>
    <w:p w:rsidR="00890F55" w:rsidRDefault="00890F55" w:rsidP="00890F55">
      <w:pPr>
        <w:rPr>
          <w:rFonts w:ascii="Old Standard TT" w:eastAsia="Times New Roman" w:hAnsi="Old Standard TT" w:cs="Arial"/>
          <w:b/>
          <w:bCs/>
          <w:color w:val="00000A"/>
          <w:sz w:val="40"/>
          <w:szCs w:val="40"/>
          <w:lang w:bidi="he-IL"/>
        </w:rPr>
      </w:pPr>
    </w:p>
    <w:p w:rsidR="00375AB0" w:rsidRDefault="00FE2BD0"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A 2020-as évben 851.000.Ft bevételünk volt</w:t>
      </w:r>
      <w:r w:rsidR="00375AB0">
        <w:rPr>
          <w:rFonts w:ascii="Old Standard TT" w:eastAsia="Times New Roman" w:hAnsi="Old Standard TT" w:cs="Arial"/>
          <w:b/>
          <w:bCs/>
          <w:color w:val="00000A"/>
          <w:sz w:val="24"/>
          <w:szCs w:val="24"/>
          <w:lang w:bidi="he-IL"/>
        </w:rPr>
        <w:t xml:space="preserve"> (646.032 Ft nyitó egyenleg mellet)</w:t>
      </w:r>
      <w:r>
        <w:rPr>
          <w:rFonts w:ascii="Old Standard TT" w:eastAsia="Times New Roman" w:hAnsi="Old Standard TT" w:cs="Arial"/>
          <w:b/>
          <w:bCs/>
          <w:color w:val="00000A"/>
          <w:sz w:val="24"/>
          <w:szCs w:val="24"/>
          <w:lang w:bidi="he-IL"/>
        </w:rPr>
        <w:t xml:space="preserve">, amely tagdíjak befizetéséből, valamint a </w:t>
      </w:r>
      <w:r w:rsidR="002F2254">
        <w:rPr>
          <w:rFonts w:ascii="Old Standard TT" w:eastAsia="Times New Roman" w:hAnsi="Old Standard TT" w:cs="Arial"/>
          <w:b/>
          <w:bCs/>
          <w:color w:val="00000A"/>
          <w:sz w:val="24"/>
          <w:szCs w:val="24"/>
          <w:lang w:bidi="he-IL"/>
        </w:rPr>
        <w:t xml:space="preserve">Magyar </w:t>
      </w:r>
      <w:r>
        <w:rPr>
          <w:rFonts w:ascii="Old Standard TT" w:eastAsia="Times New Roman" w:hAnsi="Old Standard TT" w:cs="Arial"/>
          <w:b/>
          <w:bCs/>
          <w:color w:val="00000A"/>
          <w:sz w:val="24"/>
          <w:szCs w:val="24"/>
          <w:lang w:bidi="he-IL"/>
        </w:rPr>
        <w:t>Lovas</w:t>
      </w:r>
      <w:r w:rsidR="002F2254">
        <w:rPr>
          <w:rFonts w:ascii="Old Standard TT" w:eastAsia="Times New Roman" w:hAnsi="Old Standard TT" w:cs="Arial"/>
          <w:b/>
          <w:bCs/>
          <w:color w:val="00000A"/>
          <w:sz w:val="24"/>
          <w:szCs w:val="24"/>
          <w:lang w:bidi="he-IL"/>
        </w:rPr>
        <w:t>sport</w:t>
      </w:r>
      <w:r>
        <w:rPr>
          <w:rFonts w:ascii="Old Standard TT" w:eastAsia="Times New Roman" w:hAnsi="Old Standard TT" w:cs="Arial"/>
          <w:b/>
          <w:bCs/>
          <w:color w:val="00000A"/>
          <w:sz w:val="24"/>
          <w:szCs w:val="24"/>
          <w:lang w:bidi="he-IL"/>
        </w:rPr>
        <w:t xml:space="preserve"> Szövetség támogatásaiból adódott. Kiadásunk 586.227 Ft volt, ennek jelentős része a döntők finanszírozása, díjak, s</w:t>
      </w:r>
      <w:r w:rsidR="00375AB0">
        <w:rPr>
          <w:rFonts w:ascii="Old Standard TT" w:eastAsia="Times New Roman" w:hAnsi="Old Standard TT" w:cs="Arial"/>
          <w:b/>
          <w:bCs/>
          <w:color w:val="00000A"/>
          <w:sz w:val="24"/>
          <w:szCs w:val="24"/>
          <w:lang w:bidi="he-IL"/>
        </w:rPr>
        <w:t xml:space="preserve">erlegek beszerzése. Így az év végi </w:t>
      </w:r>
      <w:r w:rsidR="00890F55">
        <w:rPr>
          <w:rFonts w:ascii="Old Standard TT" w:eastAsia="Times New Roman" w:hAnsi="Old Standard TT" w:cs="Arial"/>
          <w:b/>
          <w:bCs/>
          <w:color w:val="00000A"/>
          <w:sz w:val="24"/>
          <w:szCs w:val="24"/>
          <w:lang w:bidi="he-IL"/>
        </w:rPr>
        <w:t>záró egyenlegünk 910.805 Ft a 2020-as évben</w:t>
      </w:r>
      <w:r w:rsidR="00375AB0">
        <w:rPr>
          <w:rFonts w:ascii="Old Standard TT" w:eastAsia="Times New Roman" w:hAnsi="Old Standard TT" w:cs="Arial"/>
          <w:b/>
          <w:bCs/>
          <w:color w:val="00000A"/>
          <w:sz w:val="24"/>
          <w:szCs w:val="24"/>
          <w:lang w:bidi="he-IL"/>
        </w:rPr>
        <w:t>. Javult a pénzügyi helyzetünk a 2021-es évre, de még nem bíztuk el magunkat az év elején.</w:t>
      </w:r>
    </w:p>
    <w:p w:rsidR="00375AB0" w:rsidRDefault="00375AB0"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 xml:space="preserve">A nyitó egyenleghez (910.805 Ft) 614.000. Ft bevételünk társult az év folyamán. 22 egyesület fizette be - az elnökség döntése alapján megemelt </w:t>
      </w:r>
      <w:r w:rsidR="0033630D">
        <w:rPr>
          <w:rFonts w:ascii="Old Standard TT" w:eastAsia="Times New Roman" w:hAnsi="Old Standard TT" w:cs="Arial"/>
          <w:b/>
          <w:bCs/>
          <w:color w:val="00000A"/>
          <w:sz w:val="24"/>
          <w:szCs w:val="24"/>
          <w:lang w:bidi="he-IL"/>
        </w:rPr>
        <w:t xml:space="preserve">– tagdíjat, valamint verseny bejelentési díjat igényeltünk vissza 125.000 Ft értékben, a </w:t>
      </w:r>
      <w:r w:rsidR="002F2254">
        <w:rPr>
          <w:rFonts w:ascii="Old Standard TT" w:eastAsia="Times New Roman" w:hAnsi="Old Standard TT" w:cs="Arial"/>
          <w:b/>
          <w:bCs/>
          <w:color w:val="00000A"/>
          <w:sz w:val="24"/>
          <w:szCs w:val="24"/>
          <w:lang w:bidi="he-IL"/>
        </w:rPr>
        <w:t>Magyar Lovassport Szövetségtől</w:t>
      </w:r>
      <w:r w:rsidR="0033630D">
        <w:rPr>
          <w:rFonts w:ascii="Old Standard TT" w:eastAsia="Times New Roman" w:hAnsi="Old Standard TT" w:cs="Arial"/>
          <w:b/>
          <w:bCs/>
          <w:color w:val="00000A"/>
          <w:sz w:val="24"/>
          <w:szCs w:val="24"/>
          <w:lang w:bidi="he-IL"/>
        </w:rPr>
        <w:t xml:space="preserve"> pedig kaptunk 300.000. Ft támogatást a díjugrató döntőre. Így a 2021-es évben összesen 1.524.805 Ft-tal gazdálkodhatott a megyei szövetségünk.</w:t>
      </w:r>
    </w:p>
    <w:p w:rsidR="0033630D" w:rsidRDefault="0033630D"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A kiadásoknál figyelembe vettük, hogy minél többet tudjunk segíteni a megyei döntők megrendezőinek, támogassuk a lovasokat, valamint a regionális döntők támogatásáról sem felejtkezzünk meg.</w:t>
      </w:r>
    </w:p>
    <w:p w:rsidR="0033630D" w:rsidRDefault="004F42F6"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Í</w:t>
      </w:r>
      <w:r w:rsidR="0033630D">
        <w:rPr>
          <w:rFonts w:ascii="Old Standard TT" w:eastAsia="Times New Roman" w:hAnsi="Old Standard TT" w:cs="Arial"/>
          <w:b/>
          <w:bCs/>
          <w:color w:val="00000A"/>
          <w:sz w:val="24"/>
          <w:szCs w:val="24"/>
          <w:lang w:bidi="he-IL"/>
        </w:rPr>
        <w:t xml:space="preserve">gy </w:t>
      </w:r>
      <w:r w:rsidR="00F77409">
        <w:rPr>
          <w:rFonts w:ascii="Old Standard TT" w:eastAsia="Times New Roman" w:hAnsi="Old Standard TT" w:cs="Arial"/>
          <w:b/>
          <w:bCs/>
          <w:color w:val="00000A"/>
          <w:sz w:val="24"/>
          <w:szCs w:val="24"/>
          <w:lang w:bidi="he-IL"/>
        </w:rPr>
        <w:t xml:space="preserve">összesen 649.670 Ft </w:t>
      </w:r>
      <w:r w:rsidR="00C60AFC">
        <w:rPr>
          <w:rFonts w:ascii="Old Standard TT" w:eastAsia="Times New Roman" w:hAnsi="Old Standard TT" w:cs="Arial"/>
          <w:b/>
          <w:bCs/>
          <w:color w:val="00000A"/>
          <w:sz w:val="24"/>
          <w:szCs w:val="24"/>
          <w:lang w:bidi="he-IL"/>
        </w:rPr>
        <w:t xml:space="preserve">kiadással zártuk az évet, és </w:t>
      </w:r>
      <w:bookmarkStart w:id="0" w:name="_GoBack"/>
      <w:bookmarkEnd w:id="0"/>
      <w:r w:rsidR="0033630D">
        <w:rPr>
          <w:rFonts w:ascii="Old Standard TT" w:eastAsia="Times New Roman" w:hAnsi="Old Standard TT" w:cs="Arial"/>
          <w:b/>
          <w:bCs/>
          <w:color w:val="00000A"/>
          <w:sz w:val="24"/>
          <w:szCs w:val="24"/>
          <w:lang w:bidi="he-IL"/>
        </w:rPr>
        <w:t>875.135 Ft záró egyenleggel indultunk neki a 2022-es évnek.</w:t>
      </w:r>
    </w:p>
    <w:p w:rsidR="0033630D" w:rsidRDefault="0033630D" w:rsidP="009E59CA">
      <w:pPr>
        <w:jc w:val="both"/>
        <w:rPr>
          <w:rFonts w:ascii="Old Standard TT" w:eastAsia="Times New Roman" w:hAnsi="Old Standard TT" w:cs="Arial"/>
          <w:b/>
          <w:bCs/>
          <w:color w:val="00000A"/>
          <w:sz w:val="24"/>
          <w:szCs w:val="24"/>
          <w:lang w:bidi="he-IL"/>
        </w:rPr>
      </w:pPr>
    </w:p>
    <w:p w:rsidR="0033630D" w:rsidRDefault="0033630D"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 xml:space="preserve">Nagyon fontos megemlítenem </w:t>
      </w:r>
      <w:r w:rsidR="00E34244">
        <w:rPr>
          <w:rFonts w:ascii="Old Standard TT" w:eastAsia="Times New Roman" w:hAnsi="Old Standard TT" w:cs="Arial"/>
          <w:b/>
          <w:bCs/>
          <w:color w:val="00000A"/>
          <w:sz w:val="24"/>
          <w:szCs w:val="24"/>
          <w:lang w:bidi="he-IL"/>
        </w:rPr>
        <w:t>azokat a fő támogatóinkat, akik nélkül nem ment volna minden ilyen zökkenőmentesen.</w:t>
      </w:r>
    </w:p>
    <w:p w:rsidR="00E34244" w:rsidRDefault="00E34244"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A szövetség nevében szeretnék köszönetet mondani Fábián Katalinnak, hogy minden évben támogatja a fogathajtó szakág döntőit, nagy figyelmet fordítva a szakág fennmaradásáért, utánpótlás bizt</w:t>
      </w:r>
      <w:r w:rsidR="00890F55">
        <w:rPr>
          <w:rFonts w:ascii="Old Standard TT" w:eastAsia="Times New Roman" w:hAnsi="Old Standard TT" w:cs="Arial"/>
          <w:b/>
          <w:bCs/>
          <w:color w:val="00000A"/>
          <w:sz w:val="24"/>
          <w:szCs w:val="24"/>
          <w:lang w:bidi="he-IL"/>
        </w:rPr>
        <w:t>osításának elősegítéséért.</w:t>
      </w:r>
    </w:p>
    <w:p w:rsidR="00E34244" w:rsidRDefault="00E34244"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 xml:space="preserve">Külön meg szeretném említeni a Békés Megyei Sportszövetségek Érdekszövetségi Egyesületét, Marik Lászlóné elnök asszonnyal az élen, akinek szívügye a megyei lovassport, a versenyzők, az utánpótlás fejlesztése. Támogató munkája, és pénzbeli támogatásai nélkül most </w:t>
      </w:r>
      <w:r w:rsidR="00890F55">
        <w:rPr>
          <w:rFonts w:ascii="Old Standard TT" w:eastAsia="Times New Roman" w:hAnsi="Old Standard TT" w:cs="Arial"/>
          <w:b/>
          <w:bCs/>
          <w:color w:val="00000A"/>
          <w:sz w:val="24"/>
          <w:szCs w:val="24"/>
          <w:lang w:bidi="he-IL"/>
        </w:rPr>
        <w:t>nem itt tartana a megye</w:t>
      </w:r>
      <w:r w:rsidR="00F77409">
        <w:rPr>
          <w:rFonts w:ascii="Old Standard TT" w:eastAsia="Times New Roman" w:hAnsi="Old Standard TT" w:cs="Arial"/>
          <w:b/>
          <w:bCs/>
          <w:color w:val="00000A"/>
          <w:sz w:val="24"/>
          <w:szCs w:val="24"/>
          <w:lang w:bidi="he-IL"/>
        </w:rPr>
        <w:t>i</w:t>
      </w:r>
      <w:r w:rsidR="00890F55">
        <w:rPr>
          <w:rFonts w:ascii="Old Standard TT" w:eastAsia="Times New Roman" w:hAnsi="Old Standard TT" w:cs="Arial"/>
          <w:b/>
          <w:bCs/>
          <w:color w:val="00000A"/>
          <w:sz w:val="24"/>
          <w:szCs w:val="24"/>
          <w:lang w:bidi="he-IL"/>
        </w:rPr>
        <w:t xml:space="preserve"> </w:t>
      </w:r>
      <w:proofErr w:type="spellStart"/>
      <w:r w:rsidR="00890F55">
        <w:rPr>
          <w:rFonts w:ascii="Old Standard TT" w:eastAsia="Times New Roman" w:hAnsi="Old Standard TT" w:cs="Arial"/>
          <w:b/>
          <w:bCs/>
          <w:color w:val="00000A"/>
          <w:sz w:val="24"/>
          <w:szCs w:val="24"/>
          <w:lang w:bidi="he-IL"/>
        </w:rPr>
        <w:t>lovasélet</w:t>
      </w:r>
      <w:proofErr w:type="spellEnd"/>
      <w:r w:rsidR="00890F55">
        <w:rPr>
          <w:rFonts w:ascii="Old Standard TT" w:eastAsia="Times New Roman" w:hAnsi="Old Standard TT" w:cs="Arial"/>
          <w:b/>
          <w:bCs/>
          <w:color w:val="00000A"/>
          <w:sz w:val="24"/>
          <w:szCs w:val="24"/>
          <w:lang w:bidi="he-IL"/>
        </w:rPr>
        <w:t>.</w:t>
      </w:r>
    </w:p>
    <w:p w:rsidR="00890F55" w:rsidRDefault="00890F55" w:rsidP="009E59CA">
      <w:pPr>
        <w:jc w:val="both"/>
        <w:rPr>
          <w:rFonts w:ascii="Old Standard TT" w:eastAsia="Times New Roman" w:hAnsi="Old Standard TT" w:cs="Arial"/>
          <w:b/>
          <w:bCs/>
          <w:color w:val="00000A"/>
          <w:sz w:val="24"/>
          <w:szCs w:val="24"/>
          <w:lang w:bidi="he-IL"/>
        </w:rPr>
      </w:pPr>
    </w:p>
    <w:p w:rsidR="00890F55" w:rsidRDefault="00890F55" w:rsidP="009E59CA">
      <w:pPr>
        <w:jc w:val="both"/>
        <w:rPr>
          <w:rFonts w:ascii="Old Standard TT" w:eastAsia="Times New Roman" w:hAnsi="Old Standard TT" w:cs="Arial"/>
          <w:b/>
          <w:bCs/>
          <w:color w:val="00000A"/>
          <w:sz w:val="24"/>
          <w:szCs w:val="24"/>
          <w:lang w:bidi="he-IL"/>
        </w:rPr>
      </w:pPr>
    </w:p>
    <w:p w:rsidR="00890F55" w:rsidRPr="00890F55" w:rsidRDefault="00890F55" w:rsidP="00890F55">
      <w:pPr>
        <w:jc w:val="center"/>
        <w:rPr>
          <w:rFonts w:ascii="Old Standard TT" w:eastAsia="Times New Roman" w:hAnsi="Old Standard TT" w:cs="Arial"/>
          <w:b/>
          <w:bCs/>
          <w:color w:val="00000A"/>
          <w:sz w:val="40"/>
          <w:szCs w:val="40"/>
          <w:lang w:bidi="he-IL"/>
        </w:rPr>
      </w:pPr>
      <w:r w:rsidRPr="00890F55">
        <w:rPr>
          <w:rFonts w:ascii="Old Standard TT" w:eastAsia="Times New Roman" w:hAnsi="Old Standard TT" w:cs="Arial"/>
          <w:b/>
          <w:bCs/>
          <w:color w:val="00000A"/>
          <w:sz w:val="40"/>
          <w:szCs w:val="40"/>
          <w:lang w:bidi="he-IL"/>
        </w:rPr>
        <w:t>2022-es pénzügyi terv</w:t>
      </w:r>
    </w:p>
    <w:p w:rsidR="00890F55" w:rsidRDefault="00890F55" w:rsidP="009E59CA">
      <w:pPr>
        <w:jc w:val="both"/>
        <w:rPr>
          <w:rFonts w:ascii="Old Standard TT" w:eastAsia="Times New Roman" w:hAnsi="Old Standard TT" w:cs="Arial"/>
          <w:b/>
          <w:bCs/>
          <w:color w:val="00000A"/>
          <w:sz w:val="24"/>
          <w:szCs w:val="24"/>
          <w:lang w:bidi="he-IL"/>
        </w:rPr>
      </w:pPr>
    </w:p>
    <w:p w:rsidR="00890F55" w:rsidRDefault="00890F55"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Az idei nyitó egyenlegünk 875.135 Ft, amelyet szeretnénk a következő évben is ilyen szinten tartani.</w:t>
      </w:r>
    </w:p>
    <w:p w:rsidR="00890F55" w:rsidRDefault="005B02C4"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Tagdíjat az előző évben megemeltük, ebben az évben nem tervezzük. Viszont minden évben nagy gondot jelent ennek befizetése. Remélem érthető, hogy az egyesület csak úgy tudja támogatni tagjait, ha van miből, és időben megérkezik a tagdíj.</w:t>
      </w:r>
    </w:p>
    <w:p w:rsidR="005B02C4" w:rsidRDefault="005B02C4"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Megkezdtük az előző évb</w:t>
      </w:r>
      <w:r w:rsidR="005D5BD3">
        <w:rPr>
          <w:rFonts w:ascii="Old Standard TT" w:eastAsia="Times New Roman" w:hAnsi="Old Standard TT" w:cs="Arial"/>
          <w:b/>
          <w:bCs/>
          <w:color w:val="00000A"/>
          <w:sz w:val="24"/>
          <w:szCs w:val="24"/>
          <w:lang w:bidi="he-IL"/>
        </w:rPr>
        <w:t>en rendezett versenyek bejelentési díjainak visszaigénylését. Fogathajtó szakág 125.000. Ft visszatérítést már megállapított</w:t>
      </w:r>
      <w:r w:rsidR="003B3789">
        <w:rPr>
          <w:rFonts w:ascii="Old Standard TT" w:eastAsia="Times New Roman" w:hAnsi="Old Standard TT" w:cs="Arial"/>
          <w:b/>
          <w:bCs/>
          <w:color w:val="00000A"/>
          <w:sz w:val="24"/>
          <w:szCs w:val="24"/>
          <w:lang w:bidi="he-IL"/>
        </w:rPr>
        <w:t>, a többi szakág visszaigénylései folyamatban vannak.</w:t>
      </w:r>
    </w:p>
    <w:p w:rsidR="003B3789" w:rsidRDefault="003B3789"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 xml:space="preserve">A Magyar </w:t>
      </w:r>
      <w:r w:rsidR="00F77409">
        <w:rPr>
          <w:rFonts w:ascii="Old Standard TT" w:eastAsia="Times New Roman" w:hAnsi="Old Standard TT" w:cs="Arial"/>
          <w:b/>
          <w:bCs/>
          <w:color w:val="00000A"/>
          <w:sz w:val="24"/>
          <w:szCs w:val="24"/>
          <w:lang w:bidi="he-IL"/>
        </w:rPr>
        <w:t>Lovassport Szövetség D</w:t>
      </w:r>
      <w:r>
        <w:rPr>
          <w:rFonts w:ascii="Old Standard TT" w:eastAsia="Times New Roman" w:hAnsi="Old Standard TT" w:cs="Arial"/>
          <w:b/>
          <w:bCs/>
          <w:color w:val="00000A"/>
          <w:sz w:val="24"/>
          <w:szCs w:val="24"/>
          <w:lang w:bidi="he-IL"/>
        </w:rPr>
        <w:t>íjugrató szakága a lehetőségeikhez mérten ebben az évben is támogatni fogja Szövetségünket.</w:t>
      </w:r>
    </w:p>
    <w:p w:rsidR="00AB16FE" w:rsidRDefault="00AB16FE" w:rsidP="009E59CA">
      <w:pPr>
        <w:jc w:val="both"/>
        <w:rPr>
          <w:rFonts w:ascii="Old Standard TT" w:eastAsia="Times New Roman" w:hAnsi="Old Standard TT" w:cs="Arial"/>
          <w:b/>
          <w:bCs/>
          <w:color w:val="00000A"/>
          <w:sz w:val="24"/>
          <w:szCs w:val="24"/>
          <w:lang w:bidi="he-IL"/>
        </w:rPr>
      </w:pPr>
    </w:p>
    <w:p w:rsidR="00AB16FE" w:rsidRDefault="00AB16FE"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A legfontosabbnak tartj</w:t>
      </w:r>
      <w:r w:rsidR="003B3789">
        <w:rPr>
          <w:rFonts w:ascii="Old Standard TT" w:eastAsia="Times New Roman" w:hAnsi="Old Standard TT" w:cs="Arial"/>
          <w:b/>
          <w:bCs/>
          <w:color w:val="00000A"/>
          <w:sz w:val="24"/>
          <w:szCs w:val="24"/>
          <w:lang w:bidi="he-IL"/>
        </w:rPr>
        <w:t>uk</w:t>
      </w:r>
      <w:r w:rsidR="00F77409">
        <w:rPr>
          <w:rFonts w:ascii="Old Standard TT" w:eastAsia="Times New Roman" w:hAnsi="Old Standard TT" w:cs="Arial"/>
          <w:b/>
          <w:bCs/>
          <w:color w:val="00000A"/>
          <w:sz w:val="24"/>
          <w:szCs w:val="24"/>
          <w:lang w:bidi="he-IL"/>
        </w:rPr>
        <w:t xml:space="preserve"> a megyei döntők megrendezését,</w:t>
      </w:r>
      <w:r w:rsidR="003B3789">
        <w:rPr>
          <w:rFonts w:ascii="Old Standard TT" w:eastAsia="Times New Roman" w:hAnsi="Old Standard TT" w:cs="Arial"/>
          <w:b/>
          <w:bCs/>
          <w:color w:val="00000A"/>
          <w:sz w:val="24"/>
          <w:szCs w:val="24"/>
          <w:lang w:bidi="he-IL"/>
        </w:rPr>
        <w:t xml:space="preserve"> valamint a versenyzők támogatását. Reméljük, hogy minden szakágban tudunk döntőt kiírni!</w:t>
      </w:r>
    </w:p>
    <w:p w:rsidR="00890F55" w:rsidRDefault="00890F55" w:rsidP="009E59CA">
      <w:pPr>
        <w:jc w:val="both"/>
        <w:rPr>
          <w:rFonts w:ascii="Old Standard TT" w:eastAsia="Times New Roman" w:hAnsi="Old Standard TT" w:cs="Arial"/>
          <w:b/>
          <w:bCs/>
          <w:color w:val="00000A"/>
          <w:sz w:val="24"/>
          <w:szCs w:val="24"/>
          <w:lang w:bidi="he-IL"/>
        </w:rPr>
      </w:pPr>
    </w:p>
    <w:p w:rsidR="00E34244" w:rsidRDefault="00E34244" w:rsidP="009E59CA">
      <w:pPr>
        <w:jc w:val="both"/>
        <w:rPr>
          <w:rFonts w:ascii="Old Standard TT" w:eastAsia="Times New Roman" w:hAnsi="Old Standard TT" w:cs="Arial"/>
          <w:b/>
          <w:bCs/>
          <w:color w:val="00000A"/>
          <w:sz w:val="24"/>
          <w:szCs w:val="24"/>
          <w:lang w:bidi="he-IL"/>
        </w:rPr>
      </w:pPr>
    </w:p>
    <w:p w:rsidR="00E34244" w:rsidRDefault="00E34244"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 xml:space="preserve"> </w:t>
      </w:r>
      <w:r w:rsidR="003B3789">
        <w:rPr>
          <w:rFonts w:ascii="Old Standard TT" w:eastAsia="Times New Roman" w:hAnsi="Old Standard TT" w:cs="Arial"/>
          <w:b/>
          <w:bCs/>
          <w:color w:val="00000A"/>
          <w:sz w:val="24"/>
          <w:szCs w:val="24"/>
          <w:lang w:bidi="he-IL"/>
        </w:rPr>
        <w:t>Mezőhegyes, 2022. február 16.</w:t>
      </w:r>
      <w:r w:rsidR="003B3789">
        <w:rPr>
          <w:rFonts w:ascii="Old Standard TT" w:eastAsia="Times New Roman" w:hAnsi="Old Standard TT" w:cs="Arial"/>
          <w:b/>
          <w:bCs/>
          <w:color w:val="00000A"/>
          <w:sz w:val="24"/>
          <w:szCs w:val="24"/>
          <w:lang w:bidi="he-IL"/>
        </w:rPr>
        <w:tab/>
      </w:r>
    </w:p>
    <w:p w:rsidR="003B3789" w:rsidRDefault="003B3789" w:rsidP="009E59CA">
      <w:pPr>
        <w:jc w:val="both"/>
        <w:rPr>
          <w:rFonts w:ascii="Old Standard TT" w:eastAsia="Times New Roman" w:hAnsi="Old Standard TT" w:cs="Arial"/>
          <w:b/>
          <w:bCs/>
          <w:color w:val="00000A"/>
          <w:sz w:val="24"/>
          <w:szCs w:val="24"/>
          <w:lang w:bidi="he-IL"/>
        </w:rPr>
      </w:pPr>
    </w:p>
    <w:p w:rsidR="003B3789" w:rsidRDefault="003B3789"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proofErr w:type="spellStart"/>
      <w:r>
        <w:rPr>
          <w:rFonts w:ascii="Old Standard TT" w:eastAsia="Times New Roman" w:hAnsi="Old Standard TT" w:cs="Arial"/>
          <w:b/>
          <w:bCs/>
          <w:color w:val="00000A"/>
          <w:sz w:val="24"/>
          <w:szCs w:val="24"/>
          <w:lang w:bidi="he-IL"/>
        </w:rPr>
        <w:t>Janesz</w:t>
      </w:r>
      <w:proofErr w:type="spellEnd"/>
      <w:r>
        <w:rPr>
          <w:rFonts w:ascii="Old Standard TT" w:eastAsia="Times New Roman" w:hAnsi="Old Standard TT" w:cs="Arial"/>
          <w:b/>
          <w:bCs/>
          <w:color w:val="00000A"/>
          <w:sz w:val="24"/>
          <w:szCs w:val="24"/>
          <w:lang w:bidi="he-IL"/>
        </w:rPr>
        <w:t xml:space="preserve"> János</w:t>
      </w:r>
    </w:p>
    <w:p w:rsidR="00E34244" w:rsidRDefault="003B3789" w:rsidP="009E59CA">
      <w:pPr>
        <w:jc w:val="both"/>
        <w:rPr>
          <w:rFonts w:ascii="Old Standard TT" w:eastAsia="Times New Roman" w:hAnsi="Old Standard TT" w:cs="Arial"/>
          <w:b/>
          <w:bCs/>
          <w:color w:val="00000A"/>
          <w:sz w:val="24"/>
          <w:szCs w:val="24"/>
          <w:lang w:bidi="he-IL"/>
        </w:rPr>
      </w:pP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r>
      <w:r>
        <w:rPr>
          <w:rFonts w:ascii="Old Standard TT" w:eastAsia="Times New Roman" w:hAnsi="Old Standard TT" w:cs="Arial"/>
          <w:b/>
          <w:bCs/>
          <w:color w:val="00000A"/>
          <w:sz w:val="24"/>
          <w:szCs w:val="24"/>
          <w:lang w:bidi="he-IL"/>
        </w:rPr>
        <w:tab/>
        <w:t xml:space="preserve">    </w:t>
      </w:r>
      <w:proofErr w:type="gramStart"/>
      <w:r>
        <w:rPr>
          <w:rFonts w:ascii="Old Standard TT" w:eastAsia="Times New Roman" w:hAnsi="Old Standard TT" w:cs="Arial"/>
          <w:b/>
          <w:bCs/>
          <w:color w:val="00000A"/>
          <w:sz w:val="24"/>
          <w:szCs w:val="24"/>
          <w:lang w:bidi="he-IL"/>
        </w:rPr>
        <w:t>elnök</w:t>
      </w:r>
      <w:proofErr w:type="gramEnd"/>
    </w:p>
    <w:p w:rsidR="0038450D" w:rsidRPr="00997486" w:rsidRDefault="0038450D"/>
    <w:sectPr w:rsidR="0038450D" w:rsidRPr="00997486" w:rsidSect="00843A19">
      <w:footerReference w:type="even" r:id="rId10"/>
      <w:footerReference w:type="default" r:id="rId11"/>
      <w:headerReference w:type="first" r:id="rId12"/>
      <w:footerReference w:type="first" r:id="rId13"/>
      <w:pgSz w:w="11907" w:h="16839" w:code="1"/>
      <w:pgMar w:top="1148" w:right="1050" w:bottom="1148" w:left="105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757" w:rsidRDefault="003D2757">
      <w:pPr>
        <w:spacing w:after="0" w:line="240" w:lineRule="auto"/>
      </w:pPr>
      <w:r>
        <w:separator/>
      </w:r>
    </w:p>
  </w:endnote>
  <w:endnote w:type="continuationSeparator" w:id="0">
    <w:p w:rsidR="003D2757" w:rsidRDefault="003D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ld Standard TT">
    <w:altName w:val="Courier New"/>
    <w:panose1 w:val="00000500000000000000"/>
    <w:charset w:val="EE"/>
    <w:family w:val="auto"/>
    <w:pitch w:val="variable"/>
    <w:sig w:usb0="00000001" w:usb1="00000001" w:usb2="00000000" w:usb3="00000000" w:csb0="00000197"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21B" w:rsidRDefault="005261EE">
    <w:r>
      <w:fldChar w:fldCharType="begin"/>
    </w:r>
    <w:r>
      <w:instrText>PAGE   \* MERGEFORMAT</w:instrText>
    </w:r>
    <w:r>
      <w:fldChar w:fldCharType="separate"/>
    </w:r>
    <w:r>
      <w:t>2</w:t>
    </w:r>
    <w:r>
      <w:fldChar w:fldCharType="end"/>
    </w:r>
    <w:r>
      <w:t xml:space="preserve"> </w:t>
    </w:r>
    <w:r>
      <w:rPr>
        <w:color w:val="000000" w:themeColor="text1"/>
      </w:rPr>
      <w:sym w:font="Wingdings 2" w:char="F097"/>
    </w:r>
    <w:r>
      <w:t xml:space="preserve"> </w:t>
    </w:r>
  </w:p>
  <w:p w:rsidR="0091021B" w:rsidRDefault="005261EE">
    <w:r>
      <w:rPr>
        <w:noProof/>
      </w:rPr>
      <mc:AlternateContent>
        <mc:Choice Requires="wpg">
          <w:drawing>
            <wp:inline distT="0" distB="0" distL="0" distR="0" wp14:anchorId="26DD1E9D" wp14:editId="0BEC2C6E">
              <wp:extent cx="2327910" cy="45085"/>
              <wp:effectExtent l="9525" t="9525" r="5715" b="12065"/>
              <wp:docPr id="1" name="Csoport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1804" y="15122"/>
                        <a:chExt cx="3666" cy="71"/>
                      </a:xfrm>
                    </wpg:grpSpPr>
                    <wps:wsp>
                      <wps:cNvPr id="5" name="AutoShape 12"/>
                      <wps:cNvCnPr>
                        <a:cxnSpLocks noChangeShapeType="1"/>
                      </wps:cNvCnPr>
                      <wps:spPr bwMode="auto">
                        <a:xfrm rot="10800000">
                          <a:off x="1804" y="15122"/>
                          <a:ext cx="2723" cy="0"/>
                        </a:xfrm>
                        <a:prstGeom prst="straightConnector1">
                          <a:avLst/>
                        </a:prstGeom>
                        <a:ln w="19050">
                          <a:solidFill>
                            <a:srgbClr val="00000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AutoShape 13"/>
                      <wps:cNvCnPr>
                        <a:cxnSpLocks noChangeShapeType="1"/>
                      </wps:cNvCnPr>
                      <wps:spPr bwMode="auto">
                        <a:xfrm rot="10800000">
                          <a:off x="1804" y="15193"/>
                          <a:ext cx="3666" cy="0"/>
                        </a:xfrm>
                        <a:prstGeom prst="straightConnector1">
                          <a:avLst/>
                        </a:prstGeom>
                        <a:ln w="3175">
                          <a:solidFill>
                            <a:srgbClr val="00000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BB1E28" id="Csoport 11" o:spid="_x0000_s1026" style="width:183.3pt;height:3.55pt;mso-position-horizontal-relative:char;mso-position-vertical-relative:line" coordorigin="1804,15122"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">
              <v:shapetype id="_x0000_t32" coordsize="21600,21600" o:spt="32" o:oned="t" path="m,l21600,21600e" filled="f">
                <v:path arrowok="t" fillok="f" o:connecttype="none"/>
                <o:lock v:ext="edit" shapetype="t"/>
              </v:shapetype>
              <v:shape id="AutoShape 12" o:spid="_x0000_s1027" type="#_x0000_t32" style="position:absolute;left:1804;top:15122;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" strokeweight="1.5pt"/>
              <v:shape id="AutoShape 13" o:spid="_x0000_s1028" type="#_x0000_t32" style="position:absolute;left:1804;top:15193;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" strokeweight=".25pt"/>
              <w10:anchorlock/>
            </v:group>
          </w:pict>
        </mc:Fallback>
      </mc:AlternateContent>
    </w:r>
  </w:p>
  <w:p w:rsidR="0091021B" w:rsidRDefault="0091021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85" w:rsidRPr="005228DF" w:rsidRDefault="00375F85" w:rsidP="00375F85">
    <w:pPr>
      <w:pStyle w:val="llb"/>
      <w:pBdr>
        <w:bottom w:val="single" w:sz="4" w:space="1" w:color="auto"/>
      </w:pBdr>
      <w:jc w:val="center"/>
    </w:pPr>
  </w:p>
  <w:p w:rsidR="0091021B" w:rsidRDefault="0091021B" w:rsidP="00375F85"/>
  <w:p w:rsidR="00375F85" w:rsidRPr="00C84698" w:rsidRDefault="00375F85" w:rsidP="00375F85">
    <w:pPr>
      <w:pStyle w:val="llb"/>
      <w:jc w:val="center"/>
      <w:rPr>
        <w:color w:val="2A495E" w:themeColor="accent6" w:themeShade="80"/>
      </w:rPr>
    </w:pPr>
    <w:r w:rsidRPr="00C84698">
      <w:rPr>
        <w:color w:val="2A495E" w:themeColor="accent6" w:themeShade="80"/>
      </w:rPr>
      <w:t>Békés Megyei Lovas Szövetség</w:t>
    </w:r>
  </w:p>
  <w:p w:rsidR="00375F85" w:rsidRPr="004F0178" w:rsidRDefault="00375F85" w:rsidP="00375F85">
    <w:pPr>
      <w:pStyle w:val="llb"/>
      <w:jc w:val="center"/>
    </w:pPr>
    <w:r w:rsidRPr="00C84698">
      <w:rPr>
        <w:color w:val="2A495E" w:themeColor="accent6" w:themeShade="80"/>
      </w:rPr>
      <w:t xml:space="preserve">e-mail: </w:t>
    </w:r>
    <w:r>
      <w:rPr>
        <w:color w:val="2A495E" w:themeColor="accent6" w:themeShade="80"/>
      </w:rPr>
      <w:t>bekeslo2020@gmail.com</w:t>
    </w:r>
  </w:p>
  <w:p w:rsidR="0091021B" w:rsidRDefault="0091021B" w:rsidP="00375F85">
    <w:pPr>
      <w:jc w:val="center"/>
    </w:pPr>
  </w:p>
  <w:p w:rsidR="0091021B" w:rsidRDefault="0091021B">
    <w:pPr>
      <w:pStyle w:val="llb"/>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98" w:rsidRPr="005228DF" w:rsidRDefault="00C84698" w:rsidP="005228DF">
    <w:pPr>
      <w:pStyle w:val="llb"/>
      <w:pBdr>
        <w:bottom w:val="single" w:sz="4" w:space="1" w:color="auto"/>
      </w:pBdr>
      <w:jc w:val="center"/>
    </w:pPr>
    <w:bookmarkStart w:id="1" w:name="_Hlk34831475"/>
  </w:p>
  <w:p w:rsidR="005D2A46" w:rsidRDefault="005D2A46" w:rsidP="005D2A46">
    <w:pPr>
      <w:pStyle w:val="llb"/>
      <w:jc w:val="center"/>
      <w:rPr>
        <w:color w:val="2A495E" w:themeColor="accent6" w:themeShade="80"/>
      </w:rPr>
    </w:pPr>
  </w:p>
  <w:bookmarkEnd w:id="1"/>
  <w:p w:rsidR="005D2A46" w:rsidRPr="00C84698" w:rsidRDefault="005D2A46" w:rsidP="005D2A46">
    <w:pPr>
      <w:pStyle w:val="llb"/>
      <w:jc w:val="center"/>
      <w:rPr>
        <w:color w:val="2A495E" w:themeColor="accent6" w:themeShade="80"/>
      </w:rPr>
    </w:pPr>
    <w:r w:rsidRPr="00C84698">
      <w:rPr>
        <w:color w:val="2A495E" w:themeColor="accent6" w:themeShade="80"/>
      </w:rPr>
      <w:t>Békés Megyei Lovas Szövetség</w:t>
    </w:r>
  </w:p>
  <w:p w:rsidR="005D2A46" w:rsidRPr="004F0178" w:rsidRDefault="005D2A46" w:rsidP="005D2A46">
    <w:pPr>
      <w:pStyle w:val="llb"/>
      <w:jc w:val="center"/>
    </w:pPr>
    <w:r w:rsidRPr="00C84698">
      <w:rPr>
        <w:color w:val="2A495E" w:themeColor="accent6" w:themeShade="80"/>
      </w:rPr>
      <w:t xml:space="preserve">e-mail: </w:t>
    </w:r>
    <w:r>
      <w:rPr>
        <w:color w:val="2A495E" w:themeColor="accent6" w:themeShade="80"/>
      </w:rPr>
      <w:t>bekeslo2020@gmail.com</w:t>
    </w:r>
  </w:p>
  <w:p w:rsidR="004F0178" w:rsidRPr="004F0178" w:rsidRDefault="004F0178" w:rsidP="005D2A46">
    <w:pPr>
      <w:pStyle w:val="ll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757" w:rsidRDefault="003D2757">
      <w:pPr>
        <w:spacing w:after="0" w:line="240" w:lineRule="auto"/>
      </w:pPr>
      <w:r>
        <w:separator/>
      </w:r>
    </w:p>
  </w:footnote>
  <w:footnote w:type="continuationSeparator" w:id="0">
    <w:p w:rsidR="003D2757" w:rsidRDefault="003D2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A19" w:rsidRDefault="00C84698" w:rsidP="00C84698">
    <w:pPr>
      <w:spacing w:after="0" w:line="240" w:lineRule="auto"/>
      <w:jc w:val="center"/>
      <w:rPr>
        <w:b/>
        <w:bCs/>
        <w:caps/>
        <w:color w:val="2A495E" w:themeColor="accent6" w:themeShade="80"/>
        <w:spacing w:val="5"/>
      </w:rPr>
    </w:pPr>
    <w:r w:rsidRPr="00C84698">
      <w:rPr>
        <w:b/>
        <w:bCs/>
        <w:caps/>
        <w:noProof/>
        <w:color w:val="2A495E" w:themeColor="accent6" w:themeShade="80"/>
        <w:spacing w:val="5"/>
      </w:rPr>
      <w:drawing>
        <wp:anchor distT="0" distB="0" distL="114300" distR="114300" simplePos="0" relativeHeight="251659264" behindDoc="1" locked="0" layoutInCell="1" allowOverlap="1" wp14:anchorId="6FB996C4" wp14:editId="3DD9CD4C">
          <wp:simplePos x="0" y="0"/>
          <wp:positionH relativeFrom="column">
            <wp:posOffset>1905</wp:posOffset>
          </wp:positionH>
          <wp:positionV relativeFrom="paragraph">
            <wp:posOffset>-337820</wp:posOffset>
          </wp:positionV>
          <wp:extent cx="903605" cy="778510"/>
          <wp:effectExtent l="0" t="0" r="0" b="254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ó_5.jp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903605" cy="778510"/>
                  </a:xfrm>
                  <a:prstGeom prst="rect">
                    <a:avLst/>
                  </a:prstGeom>
                </pic:spPr>
              </pic:pic>
            </a:graphicData>
          </a:graphic>
          <wp14:sizeRelH relativeFrom="page">
            <wp14:pctWidth>0</wp14:pctWidth>
          </wp14:sizeRelH>
          <wp14:sizeRelV relativeFrom="page">
            <wp14:pctHeight>0</wp14:pctHeight>
          </wp14:sizeRelV>
        </wp:anchor>
      </w:drawing>
    </w:r>
    <w:r w:rsidRPr="00C84698">
      <w:rPr>
        <w:b/>
        <w:bCs/>
        <w:caps/>
        <w:noProof/>
        <w:color w:val="2A495E" w:themeColor="accent6" w:themeShade="80"/>
        <w:spacing w:val="5"/>
      </w:rPr>
      <w:drawing>
        <wp:anchor distT="0" distB="0" distL="114300" distR="114300" simplePos="0" relativeHeight="251661312" behindDoc="1" locked="0" layoutInCell="1" allowOverlap="1" wp14:anchorId="2F4DA187" wp14:editId="503A82D2">
          <wp:simplePos x="0" y="0"/>
          <wp:positionH relativeFrom="column">
            <wp:posOffset>5351204</wp:posOffset>
          </wp:positionH>
          <wp:positionV relativeFrom="paragraph">
            <wp:posOffset>-332740</wp:posOffset>
          </wp:positionV>
          <wp:extent cx="871868" cy="776177"/>
          <wp:effectExtent l="0" t="0" r="4445" b="5080"/>
          <wp:wrapNone/>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ó_5.jp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71868" cy="776177"/>
                  </a:xfrm>
                  <a:prstGeom prst="rect">
                    <a:avLst/>
                  </a:prstGeom>
                </pic:spPr>
              </pic:pic>
            </a:graphicData>
          </a:graphic>
          <wp14:sizeRelH relativeFrom="page">
            <wp14:pctWidth>0</wp14:pctWidth>
          </wp14:sizeRelH>
          <wp14:sizeRelV relativeFrom="page">
            <wp14:pctHeight>0</wp14:pctHeight>
          </wp14:sizeRelV>
        </wp:anchor>
      </w:drawing>
    </w:r>
    <w:r>
      <w:rPr>
        <w:b/>
        <w:bCs/>
        <w:caps/>
        <w:color w:val="2A495E" w:themeColor="accent6" w:themeShade="80"/>
        <w:spacing w:val="5"/>
      </w:rPr>
      <w:t>BÉKÉS MEGYEI LOVAS SZÖVETSÉG</w:t>
    </w:r>
  </w:p>
  <w:p w:rsidR="00C84698" w:rsidRDefault="00C84698" w:rsidP="00C84698">
    <w:pPr>
      <w:pStyle w:val="lfej"/>
      <w:jc w:val="center"/>
    </w:pPr>
    <w:r w:rsidRPr="00C84698">
      <w:rPr>
        <w:color w:val="2A495E" w:themeColor="accent6" w:themeShade="80"/>
      </w:rPr>
      <w:t>5600 BÉKÉSCSABA, József Attila utca 2-4. C ép. 2/206.</w:t>
    </w:r>
  </w:p>
  <w:p w:rsidR="00843A19" w:rsidRPr="00C84698" w:rsidRDefault="00843A19" w:rsidP="00843A19">
    <w:pPr>
      <w:spacing w:after="0" w:line="240" w:lineRule="auto"/>
      <w:ind w:firstLine="3969"/>
      <w:rPr>
        <w:color w:val="2A495E" w:themeColor="accent6" w:themeShade="80"/>
      </w:rPr>
    </w:pPr>
  </w:p>
  <w:tbl>
    <w:tblPr>
      <w:tblW w:w="4930" w:type="pct"/>
      <w:jc w:val="center"/>
      <w:tblBorders>
        <w:top w:val="single" w:sz="18" w:space="0" w:color="auto"/>
        <w:insideH w:val="single" w:sz="4" w:space="0" w:color="auto"/>
        <w:insideV w:val="single" w:sz="4" w:space="0" w:color="auto"/>
      </w:tblBorders>
      <w:shd w:val="clear" w:color="auto" w:fill="406E8C" w:themeFill="accent6" w:themeFillShade="BF"/>
      <w:tblLook w:val="01E0" w:firstRow="1" w:lastRow="1" w:firstColumn="1" w:lastColumn="1" w:noHBand="0" w:noVBand="0"/>
    </w:tblPr>
    <w:tblGrid>
      <w:gridCol w:w="4835"/>
      <w:gridCol w:w="4835"/>
    </w:tblGrid>
    <w:tr w:rsidR="00843A19" w:rsidTr="00A97BFA">
      <w:trPr>
        <w:jc w:val="center"/>
      </w:trPr>
      <w:tc>
        <w:tcPr>
          <w:tcW w:w="2500" w:type="pct"/>
          <w:shd w:val="clear" w:color="auto" w:fill="406E8C" w:themeFill="accent6" w:themeFillShade="BF"/>
        </w:tcPr>
        <w:p w:rsidR="00843A19" w:rsidRDefault="00843A19" w:rsidP="00BE34BA">
          <w:pPr>
            <w:spacing w:after="0" w:line="240" w:lineRule="auto"/>
            <w:rPr>
              <w:b/>
              <w:bCs/>
              <w:caps/>
              <w:spacing w:val="5"/>
              <w:sz w:val="8"/>
              <w:szCs w:val="8"/>
            </w:rPr>
          </w:pPr>
        </w:p>
      </w:tc>
      <w:tc>
        <w:tcPr>
          <w:tcW w:w="2500" w:type="pct"/>
          <w:shd w:val="clear" w:color="auto" w:fill="406E8C" w:themeFill="accent6" w:themeFillShade="BF"/>
        </w:tcPr>
        <w:p w:rsidR="00843A19" w:rsidRDefault="00843A19" w:rsidP="00BE34BA">
          <w:pPr>
            <w:spacing w:after="0" w:line="240" w:lineRule="auto"/>
            <w:rPr>
              <w:sz w:val="8"/>
              <w:szCs w:val="8"/>
            </w:rPr>
          </w:pPr>
        </w:p>
      </w:tc>
    </w:tr>
  </w:tbl>
  <w:p w:rsidR="00843A19" w:rsidRDefault="00843A19">
    <w:pPr>
      <w:pStyle w:val="lfej"/>
    </w:pPr>
  </w:p>
  <w:p w:rsidR="00C84698" w:rsidRDefault="00C8469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73E0"/>
    <w:multiLevelType w:val="multilevel"/>
    <w:tmpl w:val="33B056D0"/>
    <w:lvl w:ilvl="0">
      <w:start w:val="1"/>
      <w:numFmt w:val="bullet"/>
      <w:pStyle w:val="Listajel1"/>
      <w:lvlText w:val=""/>
      <w:lvlJc w:val="left"/>
      <w:pPr>
        <w:ind w:left="216" w:hanging="216"/>
      </w:pPr>
      <w:rPr>
        <w:rFonts w:ascii="Symbol" w:hAnsi="Symbol" w:hint="default"/>
        <w:b w:val="0"/>
        <w:i w:val="0"/>
        <w:color w:val="A04DA3" w:themeColor="accent3"/>
        <w:sz w:val="18"/>
      </w:rPr>
    </w:lvl>
    <w:lvl w:ilvl="1">
      <w:start w:val="1"/>
      <w:numFmt w:val="bullet"/>
      <w:pStyle w:val="Listajel2"/>
      <w:lvlText w:val=""/>
      <w:lvlJc w:val="left"/>
      <w:pPr>
        <w:ind w:left="461" w:hanging="216"/>
      </w:pPr>
      <w:rPr>
        <w:rFonts w:ascii="Wingdings" w:hAnsi="Wingdings" w:hint="default"/>
        <w:b w:val="0"/>
        <w:i w:val="0"/>
        <w:color w:val="438086" w:themeColor="accent2"/>
        <w:sz w:val="12"/>
      </w:rPr>
    </w:lvl>
    <w:lvl w:ilvl="2">
      <w:start w:val="1"/>
      <w:numFmt w:val="bullet"/>
      <w:pStyle w:val="Listajel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8A"/>
    <w:rsid w:val="0009176A"/>
    <w:rsid w:val="001216D6"/>
    <w:rsid w:val="00175AE4"/>
    <w:rsid w:val="00186128"/>
    <w:rsid w:val="002F2254"/>
    <w:rsid w:val="0030495E"/>
    <w:rsid w:val="003247F1"/>
    <w:rsid w:val="0033630D"/>
    <w:rsid w:val="00375AB0"/>
    <w:rsid w:val="00375F85"/>
    <w:rsid w:val="0038450D"/>
    <w:rsid w:val="003B3789"/>
    <w:rsid w:val="003D2757"/>
    <w:rsid w:val="00483108"/>
    <w:rsid w:val="004C1B35"/>
    <w:rsid w:val="004C2FDD"/>
    <w:rsid w:val="004E7B70"/>
    <w:rsid w:val="004F0178"/>
    <w:rsid w:val="004F42F6"/>
    <w:rsid w:val="005228DF"/>
    <w:rsid w:val="005261EE"/>
    <w:rsid w:val="00537731"/>
    <w:rsid w:val="00542D8A"/>
    <w:rsid w:val="005B02C4"/>
    <w:rsid w:val="005C0DD1"/>
    <w:rsid w:val="005D2A46"/>
    <w:rsid w:val="005D5BD3"/>
    <w:rsid w:val="006012EA"/>
    <w:rsid w:val="00843A19"/>
    <w:rsid w:val="00890F55"/>
    <w:rsid w:val="00903D01"/>
    <w:rsid w:val="0091021B"/>
    <w:rsid w:val="00997486"/>
    <w:rsid w:val="009E59CA"/>
    <w:rsid w:val="00A97BFA"/>
    <w:rsid w:val="00AB16FE"/>
    <w:rsid w:val="00B65782"/>
    <w:rsid w:val="00B75105"/>
    <w:rsid w:val="00C14657"/>
    <w:rsid w:val="00C60AFC"/>
    <w:rsid w:val="00C84698"/>
    <w:rsid w:val="00CA1B77"/>
    <w:rsid w:val="00CF0F7A"/>
    <w:rsid w:val="00D75406"/>
    <w:rsid w:val="00DC44AC"/>
    <w:rsid w:val="00E34244"/>
    <w:rsid w:val="00F77409"/>
    <w:rsid w:val="00FE2BD0"/>
  </w:rsids>
  <m:mathPr>
    <m:mathFont m:val="Cambria Math"/>
    <m:brkBin m:val="before"/>
    <m:brkBinSub m:val="--"/>
    <m:smallFrac m:val="0"/>
    <m:dispDef/>
    <m:lMargin m:val="0"/>
    <m:rMargin m:val="0"/>
    <m:defJc m:val="centerGroup"/>
    <m:wrapIndent m:val="1440"/>
    <m:intLim m:val="undOvr"/>
    <m:naryLim m:val="subSup"/>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5996FA-F922-41AD-A1A4-AF4B1894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0"/>
      <w:szCs w:val="20"/>
    </w:rPr>
  </w:style>
  <w:style w:type="paragraph" w:styleId="Cmsor2">
    <w:name w:val="heading 2"/>
    <w:basedOn w:val="Norml"/>
    <w:next w:val="Norml"/>
    <w:link w:val="Cmsor2Char"/>
    <w:uiPriority w:val="9"/>
    <w:unhideWhenUsed/>
    <w:qFormat/>
    <w:pPr>
      <w:spacing w:after="0"/>
      <w:outlineLvl w:val="1"/>
    </w:pPr>
    <w:rPr>
      <w:rFonts w:asciiTheme="majorHAnsi" w:hAnsiTheme="majorHAnsi"/>
      <w:color w:val="438086" w:themeColor="accent2"/>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Kategria">
    <w:name w:val="Kategória"/>
    <w:basedOn w:val="Norml"/>
    <w:link w:val="Kategriakaraktere"/>
    <w:uiPriority w:val="49"/>
    <w:pPr>
      <w:framePr w:hSpace="187" w:wrap="around" w:hAnchor="margin" w:xAlign="center" w:y="721"/>
      <w:spacing w:after="0" w:line="240" w:lineRule="auto"/>
    </w:pPr>
    <w:rPr>
      <w:caps/>
      <w:sz w:val="22"/>
      <w:szCs w:val="22"/>
    </w:rPr>
  </w:style>
  <w:style w:type="paragraph" w:customStyle="1" w:styleId="Megjegyzsek">
    <w:name w:val="Megjegyzések"/>
    <w:basedOn w:val="Norml"/>
    <w:link w:val="Megjegyzsekkaraktere"/>
    <w:uiPriority w:val="49"/>
    <w:pPr>
      <w:framePr w:hSpace="187" w:wrap="around" w:hAnchor="margin" w:xAlign="center" w:y="721"/>
      <w:spacing w:before="320" w:after="0" w:line="240" w:lineRule="auto"/>
    </w:pPr>
    <w:rPr>
      <w:b/>
      <w:sz w:val="22"/>
      <w:szCs w:val="22"/>
    </w:rPr>
  </w:style>
  <w:style w:type="character" w:customStyle="1" w:styleId="Kategriakaraktere">
    <w:name w:val="Kategória karaktere"/>
    <w:basedOn w:val="Bekezdsalapbettpusa"/>
    <w:link w:val="Kategria"/>
    <w:uiPriority w:val="49"/>
    <w:rPr>
      <w:caps/>
    </w:rPr>
  </w:style>
  <w:style w:type="paragraph" w:styleId="Buborkszveg">
    <w:name w:val="Balloon Text"/>
    <w:basedOn w:val="Norml"/>
    <w:link w:val="BuborkszvegChar"/>
    <w:uiPriority w:val="99"/>
    <w:semiHidden/>
    <w:unhideWhenUse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 w:type="character" w:styleId="Helyrzszveg">
    <w:name w:val="Placeholder Text"/>
    <w:basedOn w:val="Bekezdsalapbettpusa"/>
    <w:uiPriority w:val="99"/>
    <w:unhideWhenUsed/>
    <w:rPr>
      <w:color w:val="808080"/>
    </w:rPr>
  </w:style>
  <w:style w:type="character" w:customStyle="1" w:styleId="Cmsor2Char">
    <w:name w:val="Címsor 2 Char"/>
    <w:basedOn w:val="Bekezdsalapbettpusa"/>
    <w:link w:val="Cmsor2"/>
    <w:uiPriority w:val="9"/>
    <w:rPr>
      <w:rFonts w:asciiTheme="majorHAnsi" w:hAnsiTheme="majorHAnsi" w:cstheme="minorBidi"/>
      <w:color w:val="438086" w:themeColor="accent2"/>
      <w:sz w:val="28"/>
      <w:szCs w:val="28"/>
    </w:rPr>
  </w:style>
  <w:style w:type="table" w:customStyle="1" w:styleId="Stlus6">
    <w:name w:val="Stílus 6"/>
    <w:basedOn w:val="Normltblzat"/>
    <w:uiPriority w:val="26"/>
    <w:pPr>
      <w:spacing w:after="0" w:line="240" w:lineRule="auto"/>
    </w:pPr>
    <w:rPr>
      <w:rFonts w:eastAsia="Times New Roman" w:cs="Times New Roman"/>
      <w:color w:val="000000" w:themeColor="text1"/>
    </w:rPr>
    <w:tblPr>
      <w:tblInd w:w="0" w:type="dxa"/>
      <w:tblBorders>
        <w:top w:val="single" w:sz="4" w:space="0" w:color="53548A" w:themeColor="accent1"/>
        <w:left w:val="single" w:sz="4" w:space="0" w:color="53548A" w:themeColor="accent1"/>
        <w:bottom w:val="single" w:sz="4" w:space="0" w:color="53548A" w:themeColor="accent1"/>
        <w:right w:val="single" w:sz="4" w:space="0" w:color="53548A"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DAE9" w:themeFill="accent1" w:themeFillTint="33"/>
    </w:tcPr>
    <w:tblStylePr w:type="firstRow">
      <w:rPr>
        <w:b/>
        <w:bCs/>
        <w:color w:val="424456" w:themeColor="text2"/>
      </w:rPr>
      <w:tblPr/>
      <w:tcPr>
        <w:shd w:val="clear" w:color="auto" w:fill="EDEDF4" w:themeFill="accent1" w:themeFillTint="19"/>
      </w:tcPr>
    </w:tblStylePr>
    <w:tblStylePr w:type="lastRow">
      <w:rPr>
        <w:b/>
        <w:bCs/>
        <w:color w:val="FFFFFF" w:themeColor="background1"/>
      </w:rPr>
      <w:tblPr/>
      <w:tcPr>
        <w:shd w:val="clear" w:color="auto" w:fill="53548A" w:themeFill="accent1"/>
      </w:tcPr>
    </w:tblStylePr>
    <w:tblStylePr w:type="firstCol">
      <w:rPr>
        <w:b/>
        <w:bCs/>
        <w:color w:val="424456" w:themeColor="text2"/>
      </w:rPr>
    </w:tblStylePr>
    <w:tblStylePr w:type="lastCol">
      <w:rPr>
        <w:color w:val="000000" w:themeColor="text1"/>
      </w:rPr>
    </w:tblStylePr>
  </w:style>
  <w:style w:type="paragraph" w:styleId="lfej">
    <w:name w:val="header"/>
    <w:basedOn w:val="Norml"/>
    <w:link w:val="lfejChar"/>
    <w:uiPriority w:val="99"/>
    <w:unhideWhenUsed/>
    <w:pPr>
      <w:tabs>
        <w:tab w:val="center" w:pos="4680"/>
        <w:tab w:val="right" w:pos="9360"/>
      </w:tabs>
      <w:spacing w:after="0" w:line="240" w:lineRule="auto"/>
    </w:pPr>
  </w:style>
  <w:style w:type="character" w:customStyle="1" w:styleId="lfejChar">
    <w:name w:val="Élőfej Char"/>
    <w:basedOn w:val="Bekezdsalapbettpusa"/>
    <w:link w:val="lfej"/>
    <w:uiPriority w:val="99"/>
    <w:rPr>
      <w:sz w:val="20"/>
      <w:szCs w:val="20"/>
    </w:rPr>
  </w:style>
  <w:style w:type="paragraph" w:styleId="llb">
    <w:name w:val="footer"/>
    <w:basedOn w:val="Norml"/>
    <w:link w:val="llbChar"/>
    <w:uiPriority w:val="99"/>
    <w:unhideWhenUsed/>
    <w:pPr>
      <w:tabs>
        <w:tab w:val="center" w:pos="4680"/>
        <w:tab w:val="right" w:pos="9360"/>
      </w:tabs>
      <w:spacing w:after="0" w:line="240" w:lineRule="auto"/>
    </w:pPr>
  </w:style>
  <w:style w:type="character" w:customStyle="1" w:styleId="llbChar">
    <w:name w:val="Élőláb Char"/>
    <w:basedOn w:val="Bekezdsalapbettpusa"/>
    <w:link w:val="llb"/>
    <w:uiPriority w:val="99"/>
    <w:rPr>
      <w:sz w:val="20"/>
      <w:szCs w:val="20"/>
    </w:rPr>
  </w:style>
  <w:style w:type="paragraph" w:styleId="Listaszerbekezds">
    <w:name w:val="List Paragraph"/>
    <w:basedOn w:val="Norml"/>
    <w:uiPriority w:val="34"/>
    <w:qFormat/>
    <w:pPr>
      <w:ind w:left="720"/>
    </w:pPr>
  </w:style>
  <w:style w:type="paragraph" w:customStyle="1" w:styleId="Listajel1">
    <w:name w:val="Listajel 1"/>
    <w:basedOn w:val="Listaszerbekezds"/>
    <w:uiPriority w:val="36"/>
    <w:qFormat/>
    <w:pPr>
      <w:numPr>
        <w:numId w:val="3"/>
      </w:numPr>
      <w:spacing w:after="0"/>
      <w:contextualSpacing/>
    </w:pPr>
  </w:style>
  <w:style w:type="paragraph" w:customStyle="1" w:styleId="Listajel2">
    <w:name w:val="Listajel 2"/>
    <w:basedOn w:val="Listaszerbekezds"/>
    <w:uiPriority w:val="36"/>
    <w:qFormat/>
    <w:pPr>
      <w:numPr>
        <w:ilvl w:val="1"/>
        <w:numId w:val="3"/>
      </w:numPr>
      <w:spacing w:after="0"/>
      <w:contextualSpacing/>
    </w:pPr>
  </w:style>
  <w:style w:type="paragraph" w:customStyle="1" w:styleId="Listajel3">
    <w:name w:val="Listajel 3"/>
    <w:basedOn w:val="Listaszerbekezds"/>
    <w:uiPriority w:val="36"/>
    <w:qFormat/>
    <w:pPr>
      <w:numPr>
        <w:ilvl w:val="2"/>
        <w:numId w:val="3"/>
      </w:numPr>
      <w:spacing w:after="0"/>
      <w:contextualSpacing/>
    </w:pPr>
  </w:style>
  <w:style w:type="paragraph" w:customStyle="1" w:styleId="Cgneve">
    <w:name w:val="Cég neve"/>
    <w:basedOn w:val="Norml"/>
    <w:uiPriority w:val="2"/>
    <w:qFormat/>
    <w:pPr>
      <w:spacing w:after="0" w:line="240" w:lineRule="auto"/>
    </w:pPr>
    <w:rPr>
      <w:b/>
      <w:caps/>
      <w:spacing w:val="5"/>
      <w:szCs w:val="22"/>
    </w:rPr>
  </w:style>
  <w:style w:type="paragraph" w:customStyle="1" w:styleId="Cmzettneve">
    <w:name w:val="Címzett neve"/>
    <w:basedOn w:val="Norml"/>
    <w:uiPriority w:val="4"/>
    <w:qFormat/>
    <w:pPr>
      <w:spacing w:after="0" w:line="240" w:lineRule="auto"/>
    </w:pPr>
    <w:rPr>
      <w:rFonts w:cs="Arial"/>
      <w:b/>
      <w:color w:val="000000" w:themeColor="text1"/>
      <w:szCs w:val="22"/>
    </w:rPr>
  </w:style>
  <w:style w:type="paragraph" w:customStyle="1" w:styleId="Feladneve">
    <w:name w:val="Feladó neve"/>
    <w:basedOn w:val="Norml"/>
    <w:uiPriority w:val="3"/>
    <w:qFormat/>
    <w:pPr>
      <w:spacing w:after="0" w:line="240" w:lineRule="auto"/>
    </w:pPr>
    <w:rPr>
      <w:b/>
      <w:szCs w:val="22"/>
    </w:rPr>
  </w:style>
  <w:style w:type="paragraph" w:customStyle="1" w:styleId="Megjegyzsekszvege">
    <w:name w:val="Megjegyzések szövege"/>
    <w:basedOn w:val="Norml"/>
    <w:uiPriority w:val="5"/>
    <w:qFormat/>
    <w:pPr>
      <w:spacing w:after="120" w:line="288" w:lineRule="auto"/>
    </w:pPr>
    <w:rPr>
      <w:szCs w:val="22"/>
    </w:rPr>
  </w:style>
  <w:style w:type="character" w:customStyle="1" w:styleId="Megjegyzsekkaraktere">
    <w:name w:val="Megjegyzések karaktere"/>
    <w:basedOn w:val="Bekezdsalapbettpusa"/>
    <w:link w:val="Megjegyzsek"/>
    <w:uiPriority w:val="49"/>
    <w:rPr>
      <w:b/>
    </w:rPr>
  </w:style>
  <w:style w:type="paragraph" w:styleId="Szvegtrzs">
    <w:name w:val="Body Text"/>
    <w:basedOn w:val="Norml"/>
    <w:link w:val="SzvegtrzsChar"/>
    <w:rsid w:val="00542D8A"/>
    <w:pPr>
      <w:spacing w:before="240" w:after="240" w:line="240" w:lineRule="auto"/>
    </w:pPr>
    <w:rPr>
      <w:rFonts w:ascii="Arial" w:eastAsia="Times New Roman" w:hAnsi="Arial" w:cs="Arial"/>
      <w:lang w:bidi="he-IL"/>
    </w:rPr>
  </w:style>
  <w:style w:type="character" w:customStyle="1" w:styleId="SzvegtrzsChar">
    <w:name w:val="Szövegtörzs Char"/>
    <w:basedOn w:val="Bekezdsalapbettpusa"/>
    <w:link w:val="Szvegtrzs"/>
    <w:rsid w:val="00542D8A"/>
    <w:rPr>
      <w:rFonts w:ascii="Arial" w:eastAsia="Times New Roman" w:hAnsi="Arial" w:cs="Arial"/>
      <w:sz w:val="20"/>
      <w:szCs w:val="20"/>
      <w:lang w:bidi="he-IL"/>
    </w:rPr>
  </w:style>
  <w:style w:type="character" w:styleId="Hiperhivatkozs">
    <w:name w:val="Hyperlink"/>
    <w:basedOn w:val="Bekezdsalapbettpusa"/>
    <w:uiPriority w:val="99"/>
    <w:unhideWhenUsed/>
    <w:rsid w:val="001216D6"/>
    <w:rPr>
      <w:color w:val="67AFB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8\UrbanMergeFax.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5600 BÉKÉSCSABA, József Attila utca 2-4. C ép. 2/206.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0BB50-C699-485F-8341-41EF1852C323}">
  <ds:schemaRefs>
    <ds:schemaRef ds:uri="http://schemas.microsoft.com/office/2009/outspace/metadata"/>
  </ds:schemaRefs>
</ds:datastoreItem>
</file>

<file path=customXml/itemProps3.xml><?xml version="1.0" encoding="utf-8"?>
<ds:datastoreItem xmlns:ds="http://schemas.openxmlformats.org/officeDocument/2006/customXml" ds:itemID="{8D46B006-4094-48FB-B8C6-5706C9F3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UrbanMergeFax.Dotx</Template>
  <TotalTime>89</TotalTime>
  <Pages>2</Pages>
  <Words>341</Words>
  <Characters>2358</Characters>
  <Application>Microsoft Office Word</Application>
  <DocSecurity>0</DocSecurity>
  <Lines>19</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Békés MGYEI LOVAS SZÖVETSÉG</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janeszj</cp:lastModifiedBy>
  <cp:revision>7</cp:revision>
  <dcterms:created xsi:type="dcterms:W3CDTF">2022-02-16T09:10:00Z</dcterms:created>
  <dcterms:modified xsi:type="dcterms:W3CDTF">2022-02-16T11:56:00Z</dcterms:modified>
</cp:coreProperties>
</file>